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bidi w:val="0"/>
        <w:spacing w:lineRule="atLeast" w:line="360" w:before="0" w:after="0"/>
        <w:ind w:left="0" w:right="0" w:hanging="0"/>
        <w:jc w:val="left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000000"/>
          <w:spacing w:val="0"/>
          <w:sz w:val="21"/>
        </w:rPr>
        <w:t>Сообщение</w:t>
      </w:r>
    </w:p>
    <w:p>
      <w:pPr>
        <w:pStyle w:val="Style16"/>
        <w:widowControl/>
        <w:pBdr/>
        <w:bidi w:val="0"/>
        <w:spacing w:lineRule="atLeast" w:line="360" w:before="0" w:after="0"/>
        <w:ind w:left="0" w:right="0" w:hanging="0"/>
        <w:jc w:val="left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000000"/>
          <w:spacing w:val="0"/>
          <w:sz w:val="21"/>
        </w:rPr>
        <w:t>о проведении годового общего собрания акционеров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Полное фирменное наименование общества: Акционерное общество «Армез»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Место нахождения общества: Россия, Краснодарский край, г. Армавир, ул. Линейная, 11.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Форма проведения собрания: совместное присутствие акционеров для обсуждения вопросов повестки дня и принятия решений по вопросам, поставленным на голосование (собрание).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Дата проведения собрания: 28 апреля 2023 года.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Место проведения собрания: Россия, Краснодарский край, г. Горячий Ключ, с. Безымянное, база отдыха «Родничок», актовый зал.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Время начала годового общего собрания акционеров: 14-00 часов.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Время начала регистрации лиц, участвующих в общем собрании: 13-45 часов.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Дата составления списка лиц, имеющих право на участие в общем собрании акционеров: 05 апреля 2023 года.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Право голоса по указанным вопросам повестки дня общего собрания акционеров АО «Армез» имеют владельцы  обыкновенных и привилегированных именных бездокументарных  акций.</w:t>
      </w:r>
    </w:p>
    <w:p>
      <w:pPr>
        <w:pStyle w:val="2"/>
        <w:widowControl/>
        <w:pBdr/>
        <w:bidi w:val="0"/>
        <w:spacing w:lineRule="auto" w:line="288" w:before="0" w:after="150"/>
        <w:ind w:left="0" w:right="0" w:hanging="0"/>
        <w:jc w:val="left"/>
        <w:rPr>
          <w:caps w:val="false"/>
          <w:smallCaps w:val="false"/>
          <w:color w:val="6AA92E"/>
          <w:spacing w:val="0"/>
        </w:rPr>
      </w:pPr>
      <w:r>
        <w:rPr>
          <w:caps w:val="false"/>
          <w:smallCaps w:val="false"/>
          <w:color w:val="6AA92E"/>
          <w:spacing w:val="0"/>
        </w:rPr>
        <w:t> </w:t>
      </w:r>
    </w:p>
    <w:p>
      <w:pPr>
        <w:pStyle w:val="2"/>
        <w:widowControl/>
        <w:pBdr/>
        <w:bidi w:val="0"/>
        <w:spacing w:lineRule="auto" w:line="288" w:before="0" w:after="150"/>
        <w:ind w:left="0" w:right="0" w:hanging="0"/>
        <w:jc w:val="left"/>
        <w:rPr>
          <w:rFonts w:ascii="Gotham Pro;sans-serif" w:hAnsi="Gotham Pro;sans-serif"/>
          <w:b/>
          <w:i w:val="false"/>
          <w:caps w:val="false"/>
          <w:smallCaps w:val="false"/>
          <w:color w:val="6AA92E"/>
          <w:spacing w:val="0"/>
          <w:sz w:val="27"/>
        </w:rPr>
      </w:pPr>
      <w:r>
        <w:rPr>
          <w:rFonts w:ascii="Gotham Pro;sans-serif" w:hAnsi="Gotham Pro;sans-serif"/>
          <w:b/>
          <w:i w:val="false"/>
          <w:caps w:val="false"/>
          <w:smallCaps w:val="false"/>
          <w:color w:val="6AA92E"/>
          <w:spacing w:val="0"/>
          <w:sz w:val="27"/>
        </w:rPr>
        <w:t>Повестка дня общего собрания акционеров: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1. Избрание членов Совета директоров Общества.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2. Утверждение годового отчета Общества за 2022 г., годовой бухгалтерской (финансовой) отчетности Общества за 2022 г.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3. Утверждение распределения прибыли (убытков) по результатам 2022 финансового года в соответствии с Рекомендациями Совета директоров по распределению прибыли (убытков) Акционерного общества «Армез».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4. Назначение аудитора Общества.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5. Избрание Ревизора Общества.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 информацией (материалами), подлежащей предоставлению лицам, имеющим право участвовать в годовом  общем собрании акционеров, при подготовке к проведению общего собрания акционеров можно ознакомиться в течение 20 дней до проведения собрания по адресу: Краснодарский край, г. Армавир, ул. Линейная, 11, административное здание АО «Армез», кабинет юрисконсульта, в рабочие дни с 09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до 11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и с 14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до 16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час.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Направление бюллетеня для голосования осуществляется в виде электронного сообщения, содержащего электронный файл бюллетеня в виде вложения, по адресу электронной почты соответствующего лица, указанному в реестре акционеров Общества.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Дополнительно бюллетень для голосования на внеочередном общем собрании акционеров также будет вручаться под роспись по месту нахождения Общества: Краснодарский край, г. Армавир, ул. Линейная, 11, административное здание АО «Армез», кабинет юрисконсульта,  в рабочие дни с 09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до 11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и с 14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до 16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00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час.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Принявшими участие в общем собрании акционеров считаются акционеры, </w:t>
      </w:r>
      <w:hyperlink r:id="rId2">
        <w:r>
          <w:rPr>
            <w:rFonts w:ascii="Gotham Pro;sans-serif" w:hAnsi="Gotham Pro;sans-serif"/>
            <w:b w:val="false"/>
            <w:i w:val="false"/>
            <w:caps w:val="false"/>
            <w:smallCaps w:val="false"/>
            <w:color w:val="6AA92E"/>
            <w:spacing w:val="0"/>
            <w:sz w:val="21"/>
            <w:u w:val="single"/>
          </w:rPr>
          <w:t>зарегистрировавшиеся</w:t>
        </w:r>
      </w:hyperlink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для участия в нем, в том числе на сайте в информационно-телекоммуникационной сети «Интернет» </w:t>
      </w:r>
      <w:hyperlink r:id="rId3">
        <w:r>
          <w:rPr>
            <w:rFonts w:ascii="Gotham Pro;sans-serif" w:hAnsi="Gotham Pro;sans-serif"/>
            <w:b w:val="false"/>
            <w:i w:val="false"/>
            <w:caps w:val="false"/>
            <w:smallCaps w:val="false"/>
            <w:color w:val="6AA92E"/>
            <w:spacing w:val="0"/>
            <w:sz w:val="21"/>
            <w:u w:val="single"/>
          </w:rPr>
          <w:t>https:www.vtbreg.ru</w:t>
        </w:r>
      </w:hyperlink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(личный кабинет участника (акционера)), а также акционеры, бюллетени которых </w:t>
      </w:r>
      <w:hyperlink r:id="rId4">
        <w:r>
          <w:rPr>
            <w:rFonts w:ascii="Gotham Pro;sans-serif" w:hAnsi="Gotham Pro;sans-serif"/>
            <w:b w:val="false"/>
            <w:i w:val="false"/>
            <w:caps w:val="false"/>
            <w:smallCaps w:val="false"/>
            <w:color w:val="6AA92E"/>
            <w:spacing w:val="0"/>
            <w:sz w:val="21"/>
            <w:u w:val="single"/>
          </w:rPr>
          <w:t>получены</w:t>
        </w:r>
      </w:hyperlink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или электронная форма бюллетеней которых заполнена на сайте в информационно-телекоммуникационной сети «Интернет» </w:t>
      </w:r>
      <w:hyperlink r:id="rId5">
        <w:r>
          <w:rPr>
            <w:rFonts w:ascii="Gotham Pro;sans-serif" w:hAnsi="Gotham Pro;sans-serif"/>
            <w:b w:val="false"/>
            <w:i w:val="false"/>
            <w:caps w:val="false"/>
            <w:smallCaps w:val="false"/>
            <w:color w:val="6AA92E"/>
            <w:spacing w:val="0"/>
            <w:sz w:val="21"/>
            <w:u w:val="single"/>
          </w:rPr>
          <w:t>https:www.vtbreg.ru</w:t>
        </w:r>
      </w:hyperlink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не позднее двух дней до даты проведения общего собрания акционеров.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Также акционеры могут проголосовать на собрании или направить заполненные бюллетени по адресу: Краснодарский край, г. Армавир, ул. Линейная, 11,   АО «Армез» или сданы  в АО «Армез».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Участнику собрания необходимо иметь при себе паспорт или иной документ, удостоверяющий личность, а представителю акционера также доверенность на право участия в общем собрании акционеров и (или) иные документы, подтверждающие его право действовать от имени акционера (в том числе указанные в пункте 4 статьи 185 Гражданского кодекса Российской Федерации). Доверенность на голосование должна быть оформлена в соответствии с требованиями пункта 1 статьи 57 ФЗ «Об акционерных обществах» и пунктов 3 и 4 статьи 185.1 Гражданского кодекса Российской Федерации или удостоверена нотариально.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Обращаем внимание, что акционеры обязаны своевременно вносить в реестр акционеров сведения о фамилии, имени, отчестве, дате рождения, адресе места жительства, виде, серии, номере и дате выдачи документа, удостоверяющего личность, а в отношении ребенка в возрасте до 14 лет - свидетельстве о рождении. В силу пункта 16 статьи 8.2 Федерального закона «О рынке ценных бумаг» в случае, если лицо, которому открыт лицевой счет (счет депо), не представило информацию об изменении своих данных, эмитент (лицо, обязанное по ценным бумагам), держатель реестра владельцев ценных бумаг и депозитарий не несут ответственности за причиненные такому лицу убытки в связи с непредставлением информации.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Совет директоров АО «Армез»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Gotham Pr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46047E428C7F69D3D51385370298D915&amp;req=doc&amp;base=LAW&amp;n=315800&amp;dst=100135&amp;fld=134&amp;REFFIELD=134&amp;REFDST=411&amp;REFDOC=389870&amp;REFBASE=LAW&amp;stat=refcode%3D16610%3Bdstident%3D100135%3Bindex%3D1609&amp;date=13.08.2021" TargetMode="External"/><Relationship Id="rId3" Type="http://schemas.openxmlformats.org/officeDocument/2006/relationships/hyperlink" Target="https://www.vtbreg.ru/" TargetMode="External"/><Relationship Id="rId4" Type="http://schemas.openxmlformats.org/officeDocument/2006/relationships/hyperlink" Target="https://login.consultant.ru/link/?rnd=46047E428C7F69D3D51385370298D915&amp;req=doc&amp;base=LAW&amp;n=315800&amp;dst=100130&amp;fld=134&amp;REFFIELD=134&amp;REFDST=411&amp;REFDOC=389870&amp;REFBASE=LAW&amp;stat=refcode%3D16610%3Bdstident%3D100130%3Bindex%3D1609&amp;date=13.08.2021" TargetMode="External"/><Relationship Id="rId5" Type="http://schemas.openxmlformats.org/officeDocument/2006/relationships/hyperlink" Target="https://www.vtbreg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2</Pages>
  <Words>572</Words>
  <Characters>3779</Characters>
  <CharactersWithSpaces>4479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2023-05-05T00:40:38Z</dcterms:created>
  <dc:creator/>
  <dc:description/>
  <dc:language>ru-RU</dc:language>
  <cp:lastModifiedBy/>
  <dcterms:modified xsi:type="dcterms:W3CDTF">2023-05-05T00:42:33Z</dcterms:modified>
  <cp:revision>1</cp:revision>
  <dc:subject/>
  <dc:title/>
</cp:coreProperties>
</file>